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9" w:rsidRDefault="00F75B99" w:rsidP="00F75B99">
      <w:pPr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</w:t>
      </w:r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развитию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конструктивной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большую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роль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играет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развивающая</w:t>
      </w:r>
      <w:proofErr w:type="spellEnd"/>
      <w:r w:rsidRPr="00F75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предметно-пространственная</w:t>
      </w:r>
      <w:proofErr w:type="spellEnd"/>
      <w:r w:rsidRPr="00F75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среда</w:t>
      </w:r>
      <w:proofErr w:type="spellEnd"/>
      <w:r w:rsidRPr="00F75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5B99" w:rsidRDefault="00F75B99" w:rsidP="00F75B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ru-RU" w:eastAsia="ru-RU"/>
        </w:rPr>
      </w:pPr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доступном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детей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месте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группе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должен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быть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создан</w:t>
      </w:r>
      <w:proofErr w:type="spellEnd"/>
      <w:r w:rsidRPr="00F75B9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конструктивной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ru-RU" w:eastAsia="ru-RU"/>
        </w:rPr>
        <w:t xml:space="preserve"> в котор</w:t>
      </w:r>
      <w:r w:rsidR="006C1FE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ru-RU" w:eastAsia="ru-RU"/>
        </w:rPr>
        <w:t>м может находится:</w:t>
      </w:r>
    </w:p>
    <w:p w:rsidR="00F75B99" w:rsidRPr="00F75B99" w:rsidRDefault="00F75B99" w:rsidP="00F75B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ru-RU" w:eastAsia="ru-RU"/>
        </w:rPr>
      </w:pPr>
    </w:p>
    <w:p w:rsidR="006C1FEA" w:rsidRPr="006C1FEA" w:rsidRDefault="006C1FEA" w:rsidP="006C1FEA">
      <w:pPr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75B99" w:rsidRPr="006C1FEA">
        <w:rPr>
          <w:rFonts w:ascii="Times New Roman" w:hAnsi="Times New Roman" w:cs="Times New Roman"/>
          <w:sz w:val="24"/>
          <w:szCs w:val="24"/>
          <w:lang w:val="ru-RU"/>
        </w:rPr>
        <w:t xml:space="preserve">Крупный строительный материал, из которого малыши сооружают на полу постройки (1 - 2 набора на группу).  </w:t>
      </w:r>
    </w:p>
    <w:p w:rsidR="00F75B99" w:rsidRPr="006C1FEA" w:rsidRDefault="00F75B99" w:rsidP="006C1FEA">
      <w:pPr>
        <w:spacing w:after="160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C1F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Его можно раскрасить по типу «разрезных кубиков», чтобы можно было сложить стену, одна сторона которой выглядела бы как фасад дома, а другая – как внутреннее его убранство. </w:t>
      </w:r>
    </w:p>
    <w:p w:rsidR="00F75B99" w:rsidRPr="00F75B99" w:rsidRDefault="00F75B99" w:rsidP="00F75B99">
      <w:pPr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5B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Воспитатель в присутствии детей создает разные сооружения, объединяет их в сюжетную постройку.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время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он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вслух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планирует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свои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объясняет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собирается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строить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организует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работу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так,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чтобы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дети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помогали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ему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Руководя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играми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малышей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уточняет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их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представления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форме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величине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предмета. По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окончании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игры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детей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приучают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убирать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строительный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материал</w:t>
      </w:r>
      <w:proofErr w:type="spellEnd"/>
      <w:r w:rsidRPr="00F75B9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75B99">
        <w:rPr>
          <w:rFonts w:ascii="Times New Roman" w:hAnsi="Times New Roman" w:cs="Times New Roman"/>
          <w:i/>
          <w:sz w:val="24"/>
          <w:szCs w:val="24"/>
        </w:rPr>
        <w:t>шкаф</w:t>
      </w:r>
      <w:proofErr w:type="spellEnd"/>
    </w:p>
    <w:p w:rsidR="00F75B99" w:rsidRPr="00F75B99" w:rsidRDefault="00F75B99" w:rsidP="00F75B99">
      <w:pPr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F75B99">
        <w:rPr>
          <w:rFonts w:ascii="Times New Roman" w:hAnsi="Times New Roman" w:cs="Times New Roman"/>
          <w:sz w:val="24"/>
          <w:szCs w:val="24"/>
          <w:lang w:val="ru-RU"/>
        </w:rPr>
        <w:t>Средний строительный материал (деревянный, пластмассовый).</w:t>
      </w:r>
    </w:p>
    <w:p w:rsidR="00F75B99" w:rsidRPr="00F75B99" w:rsidRDefault="00F75B99" w:rsidP="00F75B99">
      <w:pPr>
        <w:pStyle w:val="aa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  <w:t>Во время игр-занятий всего материала должно быть больше, чем требуется для данной постройки (и по элементам, и по количеству), чтобы приучать детей отбирать только необходимые детали, соответствующие их замыслу.</w:t>
      </w:r>
    </w:p>
    <w:p w:rsidR="00F75B99" w:rsidRPr="00F75B99" w:rsidRDefault="00F75B99" w:rsidP="00F75B99">
      <w:pPr>
        <w:pStyle w:val="aa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Pr="00F75B99">
        <w:rPr>
          <w:rFonts w:ascii="Times New Roman" w:hAnsi="Times New Roman" w:cs="Times New Roman"/>
          <w:color w:val="auto"/>
          <w:sz w:val="24"/>
          <w:szCs w:val="24"/>
          <w:lang w:val="ru-RU"/>
        </w:rPr>
        <w:t>Комплект</w:t>
      </w:r>
      <w:r w:rsidRPr="00F75B9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/>
        </w:rPr>
        <w:t xml:space="preserve"> </w:t>
      </w:r>
      <w:r w:rsidRPr="00F75B9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крупногабаритных модулей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  <w:r w:rsidRPr="00F75B9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75B9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F75B99" w:rsidRPr="00F75B99" w:rsidRDefault="00F75B99" w:rsidP="00F75B99">
      <w:pPr>
        <w:pStyle w:val="aa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Крупные модули бывают объемные и плоскостные, что позволяет создавать крупномасштабные как объемные, так и плоскостные конструкции.</w:t>
      </w:r>
    </w:p>
    <w:p w:rsidR="00F75B99" w:rsidRPr="00F75B99" w:rsidRDefault="00F75B99" w:rsidP="00F75B99">
      <w:pPr>
        <w:pStyle w:val="aa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Путем разных комбинаций крупных деталей (модулей) в основном геометрической формы, изменения их пространственного расположения по отношению друг к другу дети создают различные конструкции, соответствующие их росту, т.е. как бы для себя. Поэтому особое значение имеют их функциональность и прочность.</w:t>
      </w:r>
    </w:p>
    <w:p w:rsidR="00F75B99" w:rsidRPr="006C1FEA" w:rsidRDefault="00F75B99" w:rsidP="006C1FEA">
      <w:pPr>
        <w:pStyle w:val="aa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Крупномасштабное конструирование с использованием разнообразных по форме, цвету и размерам модулей предоставляет детям уникальную возможность осваивать большие площади помещений, что существенно влияет на развитие из пространственных ориентировок. </w:t>
      </w:r>
    </w:p>
    <w:p w:rsidR="00F75B99" w:rsidRPr="00F75B99" w:rsidRDefault="00F75B99" w:rsidP="00F75B99">
      <w:pPr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Pr="00F75B99">
        <w:rPr>
          <w:rFonts w:ascii="Times New Roman" w:hAnsi="Times New Roman" w:cs="Times New Roman"/>
          <w:sz w:val="24"/>
          <w:szCs w:val="24"/>
          <w:lang w:val="ru-RU"/>
        </w:rPr>
        <w:t xml:space="preserve"> Набор мелкого строительного материала, имеющего основные детали (кубики, кирпичики, призмы, короткие и длинные пластины) на каждого ребенка</w:t>
      </w:r>
    </w:p>
    <w:p w:rsidR="00F75B99" w:rsidRPr="00F75B99" w:rsidRDefault="00F75B99" w:rsidP="00F75B99">
      <w:pPr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75B99">
        <w:rPr>
          <w:rFonts w:ascii="Times New Roman" w:hAnsi="Times New Roman" w:cs="Times New Roman"/>
          <w:sz w:val="24"/>
          <w:szCs w:val="24"/>
          <w:lang w:val="ru-RU"/>
        </w:rPr>
        <w:t>Игровые наборы (транспорт и строительные машины; фигурки животных, людей и элементы инфраструктуры города: дороги, деревья, строения, площадки и т.п.) 1 - 2 набора на группу</w:t>
      </w:r>
    </w:p>
    <w:p w:rsidR="00F75B99" w:rsidRPr="00F75B99" w:rsidRDefault="00F75B99" w:rsidP="00F75B9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Использование игрушек в конструировании делает его более осмысленным и целенаправленным и способствует дальнейшему развитию игровой деятельности детей</w:t>
      </w:r>
    </w:p>
    <w:p w:rsidR="00F75B99" w:rsidRPr="00F75B99" w:rsidRDefault="00F75B99" w:rsidP="00F75B99">
      <w:pPr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F75B99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девочкам: модульные конструкторы и конструкторы, соединяющиеся по принципу ЛЕГО или иным образом, за </w:t>
      </w:r>
      <w:r w:rsidR="006C1FEA">
        <w:rPr>
          <w:rFonts w:ascii="Times New Roman" w:hAnsi="Times New Roman" w:cs="Times New Roman"/>
          <w:sz w:val="24"/>
          <w:szCs w:val="24"/>
          <w:lang w:val="ru-RU"/>
        </w:rPr>
        <w:t>счет вхождения пластин в пазы (п</w:t>
      </w:r>
      <w:r w:rsidRPr="00F75B99">
        <w:rPr>
          <w:rFonts w:ascii="Times New Roman" w:hAnsi="Times New Roman" w:cs="Times New Roman"/>
          <w:sz w:val="24"/>
          <w:szCs w:val="24"/>
          <w:lang w:val="ru-RU"/>
        </w:rPr>
        <w:t>о 1 - 2 набора разных видов на группу)</w:t>
      </w:r>
    </w:p>
    <w:p w:rsidR="00F75B99" w:rsidRPr="00F75B99" w:rsidRDefault="00F75B99" w:rsidP="00F75B99">
      <w:pPr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F75B99">
        <w:rPr>
          <w:rFonts w:ascii="Times New Roman" w:hAnsi="Times New Roman" w:cs="Times New Roman"/>
          <w:sz w:val="24"/>
          <w:szCs w:val="24"/>
          <w:lang w:val="ru-RU"/>
        </w:rPr>
        <w:t>Наборы из мягкого пластика для плоскостного конструирования (5 - 6 на группу)</w:t>
      </w:r>
    </w:p>
    <w:p w:rsidR="00F75B99" w:rsidRPr="00F75B99" w:rsidRDefault="00F75B99" w:rsidP="00F75B99">
      <w:pPr>
        <w:pStyle w:val="aa"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</w:p>
    <w:p w:rsidR="00F75B99" w:rsidRPr="00F75B99" w:rsidRDefault="00F75B99" w:rsidP="00F75B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 xml:space="preserve">8. </w:t>
      </w:r>
      <w:r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Нетрадиционный материал:</w:t>
      </w:r>
    </w:p>
    <w:p w:rsidR="00F75B99" w:rsidRPr="00F75B99" w:rsidRDefault="006C1FEA" w:rsidP="00F75B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- </w:t>
      </w:r>
      <w:r w:rsidR="00F75B99"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пробки, </w:t>
      </w:r>
    </w:p>
    <w:p w:rsidR="00F75B99" w:rsidRPr="00F75B99" w:rsidRDefault="00F75B99" w:rsidP="00F75B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- </w:t>
      </w:r>
      <w:r w:rsidR="006C1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губки, </w:t>
      </w:r>
    </w:p>
    <w:p w:rsidR="00F75B99" w:rsidRPr="00F75B99" w:rsidRDefault="00F75B99" w:rsidP="00F75B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-</w:t>
      </w:r>
      <w:r w:rsidR="006C1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различные контейнеры, и другие. </w:t>
      </w:r>
    </w:p>
    <w:p w:rsidR="00F75B99" w:rsidRPr="00CE1326" w:rsidRDefault="00F75B99" w:rsidP="00CE132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F75B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Также простейшие картинки построек, «алгоритмы» их выполнения.</w:t>
      </w:r>
    </w:p>
    <w:p w:rsidR="00F75B99" w:rsidRPr="00F75B99" w:rsidRDefault="00F75B99" w:rsidP="00F75B99">
      <w:pPr>
        <w:pStyle w:val="aa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  <w:t xml:space="preserve">Хранить строительный материал удобнее всего в специальных шкафчиках с отделениями для каждого вида деталей, при этом материал всегда должен быть уложен строго по формам, чтобы дети могли быстро взять любую из них. </w:t>
      </w:r>
      <w:r w:rsidR="00B35B1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  <w:t>Шкафчики могут быть передвижными, тогда материалом можно будет пользоваться в любом месте комнаты.</w:t>
      </w:r>
    </w:p>
    <w:p w:rsidR="00F75B99" w:rsidRDefault="00F75B99" w:rsidP="00F75B99">
      <w:pPr>
        <w:pStyle w:val="aa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F75B9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  <w:t>Раскладывание материала по формам не только облегчает работу с ним, но и способствует ускорению запоминания названий этих форм.</w:t>
      </w:r>
    </w:p>
    <w:p w:rsidR="00CE1326" w:rsidRPr="00CE1326" w:rsidRDefault="00CE1326" w:rsidP="00F75B99">
      <w:pPr>
        <w:pStyle w:val="aa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E132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Место для конструирования желательно оборудовать в стороне от постоянного движения детей и взрослых.</w:t>
      </w:r>
    </w:p>
    <w:p w:rsidR="00F75B99" w:rsidRPr="00F75B99" w:rsidRDefault="00F75B99" w:rsidP="00F75B99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</w:p>
    <w:p w:rsidR="00F75B99" w:rsidRPr="00F75B99" w:rsidRDefault="00CE1326" w:rsidP="00F75B99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93980</wp:posOffset>
            </wp:positionV>
            <wp:extent cx="1791335" cy="1714500"/>
            <wp:effectExtent l="57150" t="38100" r="37465" b="19050"/>
            <wp:wrapNone/>
            <wp:docPr id="15" name="Рисунок 11" descr="C:\Users\Userr\Desktop\Новая папка\hello_html_m7448a9c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r\Desktop\Новая папка\hello_html_m7448a9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14500"/>
                    </a:xfrm>
                    <a:prstGeom prst="rect">
                      <a:avLst/>
                    </a:prstGeom>
                    <a:ln w="28575">
                      <a:solidFill>
                        <a:schemeClr val="accent3">
                          <a:lumMod val="75000"/>
                        </a:schemeClr>
                      </a:solidFill>
                      <a:prstDash val="sysDash"/>
                    </a:ln>
                    <a:effectLst/>
                  </pic:spPr>
                </pic:pic>
              </a:graphicData>
            </a:graphic>
          </wp:anchor>
        </w:drawing>
      </w:r>
    </w:p>
    <w:p w:rsidR="00F75B99" w:rsidRPr="00F75B99" w:rsidRDefault="00F75B99" w:rsidP="00F75B99">
      <w:pPr>
        <w:pStyle w:val="a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75B99" w:rsidRPr="00F75B99" w:rsidRDefault="00F75B99" w:rsidP="00F75B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B99" w:rsidRPr="00F75B99" w:rsidRDefault="00F75B99" w:rsidP="00F75B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353B" w:rsidRPr="00CE1326" w:rsidRDefault="001A353B" w:rsidP="00CE132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Pr="00503086" w:rsidRDefault="00503086" w:rsidP="00503086">
      <w:pPr>
        <w:spacing w:after="1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3086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Формы организации обучения детей раннего возраста</w:t>
      </w:r>
    </w:p>
    <w:p w:rsidR="00503086" w:rsidRPr="00503086" w:rsidRDefault="00503086" w:rsidP="00503086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503086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  <w:t>Конструирование по образцу</w:t>
      </w:r>
    </w:p>
    <w:p w:rsidR="00F75B99" w:rsidRPr="00503086" w:rsidRDefault="00503086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 w:rsidRPr="00503086">
        <w:rPr>
          <w:rFonts w:ascii="Times New Roman" w:hAnsi="Times New Roman" w:cs="Times New Roman"/>
          <w:sz w:val="24"/>
          <w:szCs w:val="24"/>
          <w:lang w:val="ru-RU"/>
        </w:rPr>
        <w:t>Детей учим рассматривать и анализировать постройки, созданные воспитателем (образец), подробно показывать способы конструирования, сопровождая объяснениями.</w:t>
      </w:r>
    </w:p>
    <w:p w:rsidR="00503086" w:rsidRDefault="00503086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503086" w:rsidRPr="00503086" w:rsidRDefault="00503086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Pr="00503086" w:rsidRDefault="00503086" w:rsidP="00503086">
      <w:pPr>
        <w:pStyle w:val="a3"/>
        <w:numPr>
          <w:ilvl w:val="0"/>
          <w:numId w:val="18"/>
        </w:num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proofErr w:type="spellStart"/>
      <w:r w:rsidRPr="00503086">
        <w:rPr>
          <w:rFonts w:ascii="Times New Roman" w:hAnsi="Times New Roman" w:cs="Times New Roman"/>
          <w:i/>
          <w:sz w:val="24"/>
          <w:szCs w:val="24"/>
        </w:rPr>
        <w:t>онструирование</w:t>
      </w:r>
      <w:proofErr w:type="spellEnd"/>
      <w:r w:rsidRPr="00503086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503086">
        <w:rPr>
          <w:rFonts w:ascii="Times New Roman" w:hAnsi="Times New Roman" w:cs="Times New Roman"/>
          <w:i/>
          <w:sz w:val="24"/>
          <w:szCs w:val="24"/>
        </w:rPr>
        <w:t>теме</w:t>
      </w:r>
      <w:proofErr w:type="spellEnd"/>
    </w:p>
    <w:p w:rsidR="00F75B99" w:rsidRPr="00503086" w:rsidRDefault="00503086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 w:rsidRPr="00503086">
        <w:rPr>
          <w:rFonts w:ascii="Times New Roman" w:hAnsi="Times New Roman" w:cs="Times New Roman"/>
          <w:sz w:val="24"/>
          <w:szCs w:val="24"/>
          <w:lang w:val="ru-RU"/>
        </w:rPr>
        <w:t>Создаем условия для объединения отдельных построек детей  общей темой.</w:t>
      </w: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503086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73025</wp:posOffset>
            </wp:positionV>
            <wp:extent cx="2135505" cy="1791970"/>
            <wp:effectExtent l="19050" t="19050" r="17145" b="17780"/>
            <wp:wrapThrough wrapText="bothSides">
              <wp:wrapPolygon edited="0">
                <wp:start x="-193" y="-230"/>
                <wp:lineTo x="-193" y="21814"/>
                <wp:lineTo x="21773" y="21814"/>
                <wp:lineTo x="21773" y="-230"/>
                <wp:lineTo x="-193" y="-230"/>
              </wp:wrapPolygon>
            </wp:wrapThrough>
            <wp:docPr id="3" name="Рисунок 1" descr="J:\конструирование\Fotolia_36902418_XS(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J:\конструирование\Fotolia_36902418_XS(10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791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Pr="00CE1326" w:rsidRDefault="00F75B99" w:rsidP="00CE132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F75B99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75B99" w:rsidRDefault="009E6817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uk-U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1.25pt;margin-top:-13.9pt;width:224.45pt;height:299.9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3086" w:rsidRDefault="00724A58" w:rsidP="00724A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  <w:lang w:val="ru-RU"/>
                    </w:rPr>
                  </w:pPr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 xml:space="preserve">Центр </w:t>
                  </w:r>
                  <w:proofErr w:type="spellStart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>развития</w:t>
                  </w:r>
                  <w:proofErr w:type="spellEnd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>конструкторских</w:t>
                  </w:r>
                  <w:proofErr w:type="spellEnd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>способностей</w:t>
                  </w:r>
                  <w:proofErr w:type="spellEnd"/>
                </w:p>
                <w:p w:rsidR="00724A58" w:rsidRPr="00724A58" w:rsidRDefault="00724A58" w:rsidP="00724A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</w:pPr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 xml:space="preserve"> в </w:t>
                  </w:r>
                  <w:proofErr w:type="spellStart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>группах</w:t>
                  </w:r>
                  <w:proofErr w:type="spellEnd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>раннего</w:t>
                  </w:r>
                  <w:proofErr w:type="spellEnd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724A5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28"/>
                    </w:rPr>
                    <w:t>возраста</w:t>
                  </w:r>
                  <w:proofErr w:type="spellEnd"/>
                </w:p>
                <w:p w:rsidR="00F6620F" w:rsidRPr="00724A58" w:rsidRDefault="00F6620F" w:rsidP="00F662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28"/>
                    </w:rPr>
                  </w:pPr>
                </w:p>
                <w:p w:rsidR="006348FE" w:rsidRDefault="006348FE" w:rsidP="00EF0A52">
                  <w:pPr>
                    <w:jc w:val="center"/>
                  </w:pPr>
                </w:p>
              </w:txbxContent>
            </v:textbox>
          </v:shape>
        </w:pict>
      </w:r>
    </w:p>
    <w:p w:rsidR="00BC7310" w:rsidRPr="00F75B99" w:rsidRDefault="00BC7310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F6620F" w:rsidRPr="00F75B99" w:rsidRDefault="00F6620F" w:rsidP="00F6620F">
      <w:pPr>
        <w:pStyle w:val="a3"/>
        <w:spacing w:after="16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3058FC" w:rsidRPr="00F75B99" w:rsidRDefault="003058FC" w:rsidP="00BC731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503086" w:rsidP="00A32CB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434395</wp:posOffset>
            </wp:positionH>
            <wp:positionV relativeFrom="paragraph">
              <wp:posOffset>272774</wp:posOffset>
            </wp:positionV>
            <wp:extent cx="2010078" cy="1911322"/>
            <wp:effectExtent l="152400" t="133350" r="390222" b="317528"/>
            <wp:wrapNone/>
            <wp:docPr id="1" name="Рисунок 8" descr="C:\Users\Userr\Desktop\Новая папка\aab anali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Userr\Desktop\Новая папка\aab anali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0078" cy="191132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  <a:prstDash val="sysDash"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FC" w:rsidRPr="00F75B99" w:rsidRDefault="003058FC" w:rsidP="00A32C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4E2" w:rsidRPr="00F75B99" w:rsidRDefault="001A353B" w:rsidP="00724A58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58FC" w:rsidRPr="00F75B99" w:rsidRDefault="00CE1326" w:rsidP="00503086">
      <w:pPr>
        <w:spacing w:after="0"/>
        <w:ind w:left="708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3614E2" w:rsidRPr="00F75B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614E2" w:rsidRPr="00F75B99">
        <w:rPr>
          <w:rFonts w:ascii="Times New Roman" w:hAnsi="Times New Roman" w:cs="Times New Roman"/>
          <w:i/>
          <w:sz w:val="24"/>
          <w:szCs w:val="24"/>
        </w:rPr>
        <w:t>П</w:t>
      </w:r>
      <w:proofErr w:type="spellStart"/>
      <w:r w:rsidR="00F6620F" w:rsidRPr="00F75B99">
        <w:rPr>
          <w:rFonts w:ascii="Times New Roman" w:hAnsi="Times New Roman" w:cs="Times New Roman"/>
          <w:i/>
          <w:sz w:val="24"/>
          <w:szCs w:val="24"/>
          <w:lang w:val="ru-RU"/>
        </w:rPr>
        <w:t>одготовила</w:t>
      </w:r>
      <w:proofErr w:type="spellEnd"/>
      <w:r w:rsidR="003058FC" w:rsidRPr="00F75B99">
        <w:rPr>
          <w:rFonts w:ascii="Times New Roman" w:hAnsi="Times New Roman" w:cs="Times New Roman"/>
          <w:i/>
          <w:sz w:val="24"/>
          <w:szCs w:val="24"/>
        </w:rPr>
        <w:t>:</w:t>
      </w:r>
    </w:p>
    <w:p w:rsidR="003058FC" w:rsidRPr="00CE1326" w:rsidRDefault="00503086" w:rsidP="00CE1326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724A58" w:rsidRPr="00F75B99">
        <w:rPr>
          <w:rFonts w:ascii="Times New Roman" w:hAnsi="Times New Roman" w:cs="Times New Roman"/>
          <w:i/>
          <w:sz w:val="24"/>
          <w:szCs w:val="24"/>
          <w:lang w:val="ru-RU"/>
        </w:rPr>
        <w:t>тарший воспитатель</w:t>
      </w:r>
      <w:r w:rsidR="003614E2" w:rsidRPr="00F75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4E2" w:rsidRPr="00F75B99">
        <w:rPr>
          <w:rFonts w:ascii="Times New Roman" w:hAnsi="Times New Roman" w:cs="Times New Roman"/>
          <w:i/>
          <w:sz w:val="24"/>
          <w:szCs w:val="24"/>
          <w:lang w:val="ru-RU"/>
        </w:rPr>
        <w:t>МДОУ</w:t>
      </w:r>
      <w:r w:rsidR="003058FC" w:rsidRPr="00F75B99">
        <w:rPr>
          <w:rFonts w:ascii="Times New Roman" w:hAnsi="Times New Roman" w:cs="Times New Roman"/>
          <w:i/>
          <w:sz w:val="24"/>
          <w:szCs w:val="24"/>
        </w:rPr>
        <w:t xml:space="preserve"> № 136</w:t>
      </w:r>
    </w:p>
    <w:p w:rsidR="00421CA3" w:rsidRPr="00503086" w:rsidRDefault="003058FC" w:rsidP="005030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5B99">
        <w:rPr>
          <w:rFonts w:ascii="Times New Roman" w:hAnsi="Times New Roman" w:cs="Times New Roman"/>
          <w:i/>
          <w:sz w:val="24"/>
          <w:szCs w:val="24"/>
        </w:rPr>
        <w:t xml:space="preserve">        Сердюк Н.В.</w:t>
      </w:r>
    </w:p>
    <w:sectPr w:rsidR="00421CA3" w:rsidRPr="00503086" w:rsidSect="00165095">
      <w:pgSz w:w="16838" w:h="11906" w:orient="landscape"/>
      <w:pgMar w:top="1417" w:right="850" w:bottom="850" w:left="850" w:header="708" w:footer="708" w:gutter="0"/>
      <w:pgBorders w:offsetFrom="page">
        <w:top w:val="twistedLines2" w:sz="8" w:space="24" w:color="0070C0"/>
        <w:left w:val="twistedLines2" w:sz="8" w:space="24" w:color="0070C0"/>
        <w:bottom w:val="twistedLines2" w:sz="8" w:space="24" w:color="0070C0"/>
        <w:right w:val="twistedLines2" w:sz="8" w:space="24" w:color="0070C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17" w:rsidRDefault="009E6817" w:rsidP="003058FC">
      <w:pPr>
        <w:spacing w:after="0" w:line="240" w:lineRule="auto"/>
      </w:pPr>
      <w:r>
        <w:separator/>
      </w:r>
    </w:p>
  </w:endnote>
  <w:endnote w:type="continuationSeparator" w:id="0">
    <w:p w:rsidR="009E6817" w:rsidRDefault="009E6817" w:rsidP="0030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17" w:rsidRDefault="009E6817" w:rsidP="003058FC">
      <w:pPr>
        <w:spacing w:after="0" w:line="240" w:lineRule="auto"/>
      </w:pPr>
      <w:r>
        <w:separator/>
      </w:r>
    </w:p>
  </w:footnote>
  <w:footnote w:type="continuationSeparator" w:id="0">
    <w:p w:rsidR="009E6817" w:rsidRDefault="009E6817" w:rsidP="00305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E06"/>
    <w:multiLevelType w:val="multilevel"/>
    <w:tmpl w:val="78E427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7B44137"/>
    <w:multiLevelType w:val="hybridMultilevel"/>
    <w:tmpl w:val="870AF306"/>
    <w:lvl w:ilvl="0" w:tplc="C534ED3A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ED53ED0"/>
    <w:multiLevelType w:val="hybridMultilevel"/>
    <w:tmpl w:val="D266451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2906"/>
    <w:multiLevelType w:val="hybridMultilevel"/>
    <w:tmpl w:val="7AC41018"/>
    <w:lvl w:ilvl="0" w:tplc="01661AB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F0AC3"/>
    <w:multiLevelType w:val="hybridMultilevel"/>
    <w:tmpl w:val="0088D2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F5384"/>
    <w:multiLevelType w:val="multilevel"/>
    <w:tmpl w:val="488A51A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2E843238"/>
    <w:multiLevelType w:val="hybridMultilevel"/>
    <w:tmpl w:val="0180054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77F99"/>
    <w:multiLevelType w:val="hybridMultilevel"/>
    <w:tmpl w:val="E882739C"/>
    <w:lvl w:ilvl="0" w:tplc="DD186E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52804"/>
    <w:multiLevelType w:val="hybridMultilevel"/>
    <w:tmpl w:val="4BCA1D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F56BB"/>
    <w:multiLevelType w:val="hybridMultilevel"/>
    <w:tmpl w:val="B8CE6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35CA3"/>
    <w:multiLevelType w:val="hybridMultilevel"/>
    <w:tmpl w:val="153E63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D1"/>
    <w:multiLevelType w:val="hybridMultilevel"/>
    <w:tmpl w:val="A1944004"/>
    <w:lvl w:ilvl="0" w:tplc="5A08824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65D89"/>
    <w:multiLevelType w:val="hybridMultilevel"/>
    <w:tmpl w:val="D95E96D6"/>
    <w:lvl w:ilvl="0" w:tplc="2996E54E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612FD6"/>
    <w:multiLevelType w:val="hybridMultilevel"/>
    <w:tmpl w:val="7B9EF734"/>
    <w:lvl w:ilvl="0" w:tplc="DB7E29F8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78D27D6"/>
    <w:multiLevelType w:val="hybridMultilevel"/>
    <w:tmpl w:val="69569EE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4B337E"/>
    <w:multiLevelType w:val="hybridMultilevel"/>
    <w:tmpl w:val="72CC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E06878"/>
    <w:multiLevelType w:val="multilevel"/>
    <w:tmpl w:val="169A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41663"/>
    <w:multiLevelType w:val="hybridMultilevel"/>
    <w:tmpl w:val="C3040860"/>
    <w:lvl w:ilvl="0" w:tplc="74402F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5125B"/>
    <w:multiLevelType w:val="hybridMultilevel"/>
    <w:tmpl w:val="A08CB40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8"/>
  </w:num>
  <w:num w:numId="5">
    <w:abstractNumId w:val="5"/>
  </w:num>
  <w:num w:numId="6">
    <w:abstractNumId w:val="16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9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EB"/>
    <w:rsid w:val="000E26CF"/>
    <w:rsid w:val="000E5398"/>
    <w:rsid w:val="00165095"/>
    <w:rsid w:val="001A353B"/>
    <w:rsid w:val="001C6B47"/>
    <w:rsid w:val="0021548D"/>
    <w:rsid w:val="002875C6"/>
    <w:rsid w:val="003058FC"/>
    <w:rsid w:val="00320569"/>
    <w:rsid w:val="00324F98"/>
    <w:rsid w:val="003614E2"/>
    <w:rsid w:val="0036180B"/>
    <w:rsid w:val="00421CA3"/>
    <w:rsid w:val="00445EA7"/>
    <w:rsid w:val="004E0FF6"/>
    <w:rsid w:val="004F25D9"/>
    <w:rsid w:val="00503086"/>
    <w:rsid w:val="005B5FD7"/>
    <w:rsid w:val="005E7EED"/>
    <w:rsid w:val="006348FE"/>
    <w:rsid w:val="00691344"/>
    <w:rsid w:val="006B51D9"/>
    <w:rsid w:val="006C1FEA"/>
    <w:rsid w:val="00710551"/>
    <w:rsid w:val="00724A58"/>
    <w:rsid w:val="007742D8"/>
    <w:rsid w:val="008016B0"/>
    <w:rsid w:val="00810EFA"/>
    <w:rsid w:val="008436AF"/>
    <w:rsid w:val="008E73F4"/>
    <w:rsid w:val="008F5CDC"/>
    <w:rsid w:val="0090028A"/>
    <w:rsid w:val="00980313"/>
    <w:rsid w:val="009D6D94"/>
    <w:rsid w:val="009E6817"/>
    <w:rsid w:val="00A32CB6"/>
    <w:rsid w:val="00A61F28"/>
    <w:rsid w:val="00AB6BA5"/>
    <w:rsid w:val="00B240E2"/>
    <w:rsid w:val="00B35B17"/>
    <w:rsid w:val="00BC0DAC"/>
    <w:rsid w:val="00BC7310"/>
    <w:rsid w:val="00CE1326"/>
    <w:rsid w:val="00D948C7"/>
    <w:rsid w:val="00DA6411"/>
    <w:rsid w:val="00DC7E69"/>
    <w:rsid w:val="00DD1015"/>
    <w:rsid w:val="00E16DEB"/>
    <w:rsid w:val="00E345A1"/>
    <w:rsid w:val="00E504B9"/>
    <w:rsid w:val="00EB74AD"/>
    <w:rsid w:val="00EF0A52"/>
    <w:rsid w:val="00F21026"/>
    <w:rsid w:val="00F6620F"/>
    <w:rsid w:val="00F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5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FC"/>
  </w:style>
  <w:style w:type="paragraph" w:styleId="a6">
    <w:name w:val="footer"/>
    <w:basedOn w:val="a"/>
    <w:link w:val="a7"/>
    <w:uiPriority w:val="99"/>
    <w:semiHidden/>
    <w:unhideWhenUsed/>
    <w:rsid w:val="00305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FC"/>
  </w:style>
  <w:style w:type="character" w:customStyle="1" w:styleId="a8">
    <w:name w:val="Основной текст Знак"/>
    <w:basedOn w:val="a0"/>
    <w:link w:val="a9"/>
    <w:rsid w:val="003614E2"/>
    <w:rPr>
      <w:rFonts w:ascii="Arial" w:hAnsi="Arial"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3614E2"/>
    <w:pPr>
      <w:widowControl w:val="0"/>
      <w:shd w:val="clear" w:color="auto" w:fill="FFFFFF"/>
      <w:spacing w:after="0" w:line="216" w:lineRule="exact"/>
      <w:jc w:val="both"/>
    </w:pPr>
    <w:rPr>
      <w:rFonts w:ascii="Arial" w:hAnsi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3614E2"/>
  </w:style>
  <w:style w:type="paragraph" w:styleId="aa">
    <w:name w:val="No Spacing"/>
    <w:basedOn w:val="a"/>
    <w:link w:val="ab"/>
    <w:uiPriority w:val="1"/>
    <w:qFormat/>
    <w:rsid w:val="00B240E2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c">
    <w:name w:val="Normal (Web)"/>
    <w:basedOn w:val="a"/>
    <w:uiPriority w:val="99"/>
    <w:unhideWhenUsed/>
    <w:rsid w:val="00B2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AB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A5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F6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F75B99"/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04BA-71E3-4527-91B2-D97F1603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21</cp:revision>
  <dcterms:created xsi:type="dcterms:W3CDTF">2014-01-26T19:09:00Z</dcterms:created>
  <dcterms:modified xsi:type="dcterms:W3CDTF">2024-02-16T06:20:00Z</dcterms:modified>
</cp:coreProperties>
</file>